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EB42D">
      <w:pPr>
        <w:snapToGrid w:val="0"/>
        <w:spacing w:line="560" w:lineRule="atLeast"/>
        <w:jc w:val="center"/>
        <w:rPr>
          <w:rFonts w:hint="eastAsia" w:ascii="方正小标宋简体" w:hAnsi="仿宋_GB2312" w:eastAsia="方正小标宋简体" w:cs="仿宋_GB2312"/>
          <w:b/>
          <w:bCs/>
          <w:color w:val="000000" w:themeColor="text1"/>
          <w:sz w:val="44"/>
          <w:szCs w:val="44"/>
          <w14:textFill>
            <w14:solidFill>
              <w14:schemeClr w14:val="tx1"/>
            </w14:solidFill>
          </w14:textFill>
        </w:rPr>
      </w:pPr>
      <w:r>
        <w:rPr>
          <w:rFonts w:hint="eastAsia" w:ascii="方正小标宋简体" w:hAnsi="仿宋_GB2312" w:eastAsia="方正小标宋简体" w:cs="仿宋_GB2312"/>
          <w:b/>
          <w:bCs/>
          <w:color w:val="000000" w:themeColor="text1"/>
          <w:sz w:val="44"/>
          <w:szCs w:val="44"/>
          <w14:textFill>
            <w14:solidFill>
              <w14:schemeClr w14:val="tx1"/>
            </w14:solidFill>
          </w14:textFill>
        </w:rPr>
        <w:t>关于2024年</w:t>
      </w:r>
      <w:r>
        <w:rPr>
          <w:rFonts w:hint="eastAsia" w:ascii="方正小标宋简体" w:hAnsi="仿宋_GB2312" w:eastAsia="方正小标宋简体" w:cs="仿宋_GB2312"/>
          <w:b/>
          <w:bCs/>
          <w:color w:val="000000" w:themeColor="text1"/>
          <w:sz w:val="44"/>
          <w:szCs w:val="44"/>
          <w:lang w:val="en-US" w:eastAsia="zh-CN"/>
          <w14:textFill>
            <w14:solidFill>
              <w14:schemeClr w14:val="tx1"/>
            </w14:solidFill>
          </w14:textFill>
        </w:rPr>
        <w:t>下</w:t>
      </w:r>
      <w:r>
        <w:rPr>
          <w:rFonts w:hint="eastAsia" w:ascii="方正小标宋简体" w:hAnsi="仿宋_GB2312" w:eastAsia="方正小标宋简体" w:cs="仿宋_GB2312"/>
          <w:b/>
          <w:bCs/>
          <w:color w:val="000000" w:themeColor="text1"/>
          <w:sz w:val="44"/>
          <w:szCs w:val="44"/>
          <w14:textFill>
            <w14:solidFill>
              <w14:schemeClr w14:val="tx1"/>
            </w14:solidFill>
          </w14:textFill>
        </w:rPr>
        <w:t>半年进入二阶段同等学力申硕人员确认导师的说明</w:t>
      </w:r>
    </w:p>
    <w:p w14:paraId="76C93295">
      <w:pPr>
        <w:snapToGrid w:val="0"/>
        <w:spacing w:line="560" w:lineRule="atLeast"/>
        <w:rPr>
          <w:rFonts w:hint="eastAsia" w:ascii="黑体" w:hAnsi="黑体" w:eastAsia="黑体" w:cs="仿宋_GB2312"/>
          <w:color w:val="000000" w:themeColor="text1"/>
          <w:sz w:val="32"/>
          <w:szCs w:val="32"/>
          <w14:textFill>
            <w14:solidFill>
              <w14:schemeClr w14:val="tx1"/>
            </w14:solidFill>
          </w14:textFill>
        </w:rPr>
      </w:pPr>
      <w:r>
        <w:rPr>
          <w:rFonts w:hint="eastAsia" w:ascii="黑体" w:hAnsi="黑体" w:eastAsia="黑体" w:cs="仿宋_GB2312"/>
          <w:color w:val="000000" w:themeColor="text1"/>
          <w:sz w:val="32"/>
          <w:szCs w:val="32"/>
          <w14:textFill>
            <w14:solidFill>
              <w14:schemeClr w14:val="tx1"/>
            </w14:solidFill>
          </w14:textFill>
        </w:rPr>
        <w:t>各研究生培养单位、相关人员：</w:t>
      </w:r>
    </w:p>
    <w:p w14:paraId="31D1E665">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为顺利开展同等学力人员申请硕士学位工作，做好2024年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下</w:t>
      </w:r>
      <w:r>
        <w:rPr>
          <w:rFonts w:hint="eastAsia" w:ascii="仿宋_GB2312" w:hAnsi="仿宋_GB2312" w:eastAsia="仿宋_GB2312" w:cs="仿宋_GB2312"/>
          <w:color w:val="000000" w:themeColor="text1"/>
          <w:sz w:val="32"/>
          <w:szCs w:val="32"/>
          <w14:textFill>
            <w14:solidFill>
              <w14:schemeClr w14:val="tx1"/>
            </w14:solidFill>
          </w14:textFill>
        </w:rPr>
        <w:t>半年同等学力申请硕士学位人员导师确认工作，现将相关事项说明如下：</w:t>
      </w:r>
    </w:p>
    <w:p w14:paraId="19EF0184">
      <w:pPr>
        <w:snapToGrid w:val="0"/>
        <w:spacing w:line="560" w:lineRule="atLeast"/>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一、导师确认的原则</w:t>
      </w:r>
    </w:p>
    <w:p w14:paraId="6227B7D5">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同等学力人员应在具备锦州医科大学硕士研究生导师资格的人员范围内选择，学术型导师可以带教学术型及专业型研究生，专业型导师仅可指导专业型研究生。原则上报考时备案的专业（二级学科）应与导师招生专业一致。其中，申请临床医学硕士专业学位的学员所选导师招生专业需与学员规培专业保持一致。</w:t>
      </w:r>
    </w:p>
    <w:p w14:paraId="57934F29">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2.导师指导同等学力学员数量上限由导师所在研究生培养单位结合实际情况确定，招生额度与统招研究生名额不合并计算。</w:t>
      </w:r>
    </w:p>
    <w:p w14:paraId="4BD32579">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根据学生实际需求，亦可在原专业所属的一级学科下的其他二级学科选导师（不含申请临床医学硕士专业学位的学员）。涉及此类情况的学生，须在联系好意向导师的前提下，同时提交转专业申请，具体要求附后。</w:t>
      </w:r>
    </w:p>
    <w:p w14:paraId="6735FF1C">
      <w:pPr>
        <w:snapToGrid w:val="0"/>
        <w:spacing w:line="560" w:lineRule="atLeast"/>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二、工作流程及要求</w:t>
      </w:r>
    </w:p>
    <w:p w14:paraId="43396332">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符合基本条件的学员需填写《锦州医科大学同等学力人员申请硕士学位接收登记表》（附件2-1，以下简称“登记表”）、《锦州医科大学同等学力人员申请硕士学位接收登记情况汇总表》（附件2-2，以下简称“汇总表”）。导师信息通过“锦州医科大学学位与研究生管理信息系统”（https://yjsgl.jzmu.edu.cn/login.html）查询，具体操作方法见附件2-3。</w:t>
      </w:r>
    </w:p>
    <w:p w14:paraId="7BE0DEF3">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2.与导师取得联系，确认意向，由导师在《登记表》相应位置签字。</w:t>
      </w:r>
    </w:p>
    <w:p w14:paraId="651BFCD3">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3.因导师确认，需在原一级学科范围内更换二级学科的，须一并提交《锦州医科大学以研究生毕业同等学力人员申请硕士学位转专业审批表》（附件2-4，以下简称“审批表”）。</w:t>
      </w:r>
    </w:p>
    <w:p w14:paraId="41B5EFA2">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将《登记表》、《审批表》（未发生专业改变者无需提交）、《汇总表》报送至导师所在培养单位研究生管理部门审批、汇总，其中临床医学专业学位学生须提供规培相关证明材料（原件扫描PDF）。为便于联系，现提供校内培养单位联络方式供参考（附件2-5），材料报送等相关问题由各培养单位组织、解答。</w:t>
      </w:r>
    </w:p>
    <w:p w14:paraId="006EBC1A">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5.各培养单位对学员提交的《登记表》进行核查，包括导师审批是否真实，学生专业是否与导师相符等。通过审批后，对学员《汇总表》进行集中汇总，在《登记表》、《审批表》、《汇总表》加盖公章。</w:t>
      </w:r>
    </w:p>
    <w:p w14:paraId="244726EE">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6.各培养单位将材料报送至学院研究生学院学位管理科，发送邮件到电子邮箱jyxwgl@126.com，邮件题目“培养单位名称 2024年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下</w:t>
      </w:r>
      <w:r>
        <w:rPr>
          <w:rFonts w:hint="eastAsia" w:ascii="仿宋_GB2312" w:hAnsi="仿宋_GB2312" w:eastAsia="仿宋_GB2312" w:cs="仿宋_GB2312"/>
          <w:color w:val="000000" w:themeColor="text1"/>
          <w:sz w:val="32"/>
          <w:szCs w:val="32"/>
          <w14:textFill>
            <w14:solidFill>
              <w14:schemeClr w14:val="tx1"/>
            </w14:solidFill>
          </w14:textFill>
        </w:rPr>
        <w:t>半年同等学力导师确认”。</w:t>
      </w:r>
    </w:p>
    <w:p w14:paraId="0D328E8E">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提交材料包括：</w:t>
      </w:r>
    </w:p>
    <w:p w14:paraId="6EFDAAF6">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（1）《登记表》PDF（签字盖章）、Word，命名为“学号 姓名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2024下</w:t>
      </w:r>
      <w:r>
        <w:rPr>
          <w:rFonts w:hint="eastAsia" w:ascii="仿宋_GB2312" w:hAnsi="仿宋_GB2312" w:eastAsia="仿宋_GB2312" w:cs="仿宋_GB2312"/>
          <w:color w:val="000000" w:themeColor="text1"/>
          <w:sz w:val="32"/>
          <w:szCs w:val="32"/>
          <w14:textFill>
            <w14:solidFill>
              <w14:schemeClr w14:val="tx1"/>
            </w14:solidFill>
          </w14:textFill>
        </w:rPr>
        <w:t xml:space="preserve"> 同等学力接收登记表”；</w:t>
      </w:r>
    </w:p>
    <w:p w14:paraId="76C0F827">
      <w:pPr>
        <w:snapToGrid w:val="0"/>
        <w:spacing w:line="560" w:lineRule="atLeast"/>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（2）《审批表》PDF（签字盖章）、Word，命名为“学号 姓名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2024下</w:t>
      </w:r>
      <w:r>
        <w:rPr>
          <w:rFonts w:hint="eastAsia" w:ascii="仿宋_GB2312" w:hAnsi="仿宋_GB2312" w:eastAsia="仿宋_GB2312" w:cs="仿宋_GB2312"/>
          <w:color w:val="000000" w:themeColor="text1"/>
          <w:sz w:val="32"/>
          <w:szCs w:val="32"/>
          <w14:textFill>
            <w14:solidFill>
              <w14:schemeClr w14:val="tx1"/>
            </w14:solidFill>
          </w14:textFill>
        </w:rPr>
        <w:t xml:space="preserve"> 同等学力转专业审批表”（未发生专业改变者无需提交）</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14:paraId="4192A169">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（3）《汇总表》PDF（盖章后扫描）、Excel，命名为“培养单位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名称</w:t>
      </w:r>
      <w:r>
        <w:rPr>
          <w:rFonts w:hint="eastAsia" w:ascii="仿宋_GB2312" w:hAnsi="仿宋_GB2312" w:eastAsia="仿宋_GB2312" w:cs="仿宋_GB2312"/>
          <w:color w:val="000000" w:themeColor="text1"/>
          <w:sz w:val="32"/>
          <w:szCs w:val="32"/>
          <w14:textFill>
            <w14:solidFill>
              <w14:schemeClr w14:val="tx1"/>
            </w14:solidFill>
          </w14:textFill>
        </w:rPr>
        <w:t xml:space="preserve"> 202</w:t>
      </w:r>
      <w:bookmarkStart w:id="0" w:name="_GoBack"/>
      <w:r>
        <w:rPr>
          <w:rFonts w:hint="eastAsia" w:ascii="仿宋_GB2312" w:hAnsi="仿宋_GB2312" w:eastAsia="仿宋_GB2312" w:cs="仿宋_GB2312"/>
          <w:color w:val="000000" w:themeColor="text1"/>
          <w:sz w:val="32"/>
          <w:szCs w:val="32"/>
          <w14:textFill>
            <w14:solidFill>
              <w14:schemeClr w14:val="tx1"/>
            </w14:solidFill>
          </w14:textFill>
        </w:rPr>
        <w:t>4</w:t>
      </w:r>
      <w:bookmarkEnd w:id="0"/>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下 </w:t>
      </w:r>
      <w:r>
        <w:rPr>
          <w:rFonts w:hint="eastAsia" w:ascii="仿宋_GB2312" w:hAnsi="仿宋_GB2312" w:eastAsia="仿宋_GB2312" w:cs="仿宋_GB2312"/>
          <w:color w:val="000000" w:themeColor="text1"/>
          <w:sz w:val="32"/>
          <w:szCs w:val="32"/>
          <w14:textFill>
            <w14:solidFill>
              <w14:schemeClr w14:val="tx1"/>
            </w14:solidFill>
          </w14:textFill>
        </w:rPr>
        <w:t>同等学力接收汇总表”；</w:t>
      </w:r>
    </w:p>
    <w:p w14:paraId="26D10CDA">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（4）规培专业证明材料证明扫描PDF（仅临床专业型研究生提供），命名为“学号 姓名 专硕规培材料”。</w:t>
      </w:r>
    </w:p>
    <w:p w14:paraId="7766DF4D">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7.学校将对提交材料进行统一核查，经核查通过，另行统一组织缴费。</w:t>
      </w:r>
    </w:p>
    <w:p w14:paraId="7A386ECD">
      <w:pPr>
        <w:snapToGrid w:val="0"/>
        <w:spacing w:line="560" w:lineRule="atLeast"/>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三、时间安排</w:t>
      </w:r>
    </w:p>
    <w:p w14:paraId="5A987B56">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考虑到同等学力学员个人时间分配情况，确认导师工作可分阶段进行。</w:t>
      </w:r>
    </w:p>
    <w:p w14:paraId="123EFBFF">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（一）学校集中组织阶段时间安排：</w:t>
      </w:r>
    </w:p>
    <w:p w14:paraId="317EFB72">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w:t>
      </w:r>
      <w:r>
        <w:rPr>
          <w:rFonts w:hint="eastAsia" w:ascii="仿宋_GB2312" w:hAnsi="仿宋_GB2312" w:eastAsia="仿宋_GB2312" w:cs="仿宋_GB2312"/>
          <w:color w:val="000000" w:themeColor="text1"/>
          <w:sz w:val="32"/>
          <w:szCs w:val="32"/>
          <w14:textFill>
            <w14:solidFill>
              <w14:schemeClr w14:val="tx1"/>
            </w14:solidFill>
          </w14:textFill>
        </w:rPr>
        <w:t>日前  学生与导师沟通确认，完成导师审批，材料提交至培养单位审核；</w:t>
      </w:r>
    </w:p>
    <w:p w14:paraId="5BF38288">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w:t>
      </w:r>
      <w:r>
        <w:rPr>
          <w:rFonts w:hint="eastAsia" w:ascii="仿宋_GB2312" w:hAnsi="仿宋_GB2312" w:eastAsia="仿宋_GB2312" w:cs="仿宋_GB2312"/>
          <w:color w:val="000000" w:themeColor="text1"/>
          <w:sz w:val="32"/>
          <w:szCs w:val="32"/>
          <w14:textFill>
            <w14:solidFill>
              <w14:schemeClr w14:val="tx1"/>
            </w14:solidFill>
          </w14:textFill>
        </w:rPr>
        <w:t>日前  培养单位完成审核，并将材料提交至学校。</w:t>
      </w:r>
    </w:p>
    <w:p w14:paraId="0A483601">
      <w:pPr>
        <w:snapToGrid w:val="0"/>
        <w:spacing w:line="560" w:lineRule="atLeast"/>
        <w:ind w:firstLine="640" w:firstLineChars="200"/>
        <w:rPr>
          <w:rFonts w:hint="eastAsia" w:ascii="仿宋_GB2312" w:hAnsi="仿宋_GB2312" w:eastAsia="仿宋_GB2312" w:cs="仿宋_GB2312"/>
          <w:color w:val="000000" w:themeColor="text1"/>
          <w:sz w:val="32"/>
          <w:szCs w:val="32"/>
          <w:u w:val="single"/>
          <w14:textFill>
            <w14:solidFill>
              <w14:schemeClr w14:val="tx1"/>
            </w14:solidFill>
          </w14:textFill>
        </w:rPr>
      </w:pPr>
      <w:r>
        <w:rPr>
          <w:rFonts w:hint="eastAsia" w:ascii="仿宋_GB2312" w:hAnsi="仿宋_GB2312" w:eastAsia="仿宋_GB2312" w:cs="仿宋_GB2312"/>
          <w:color w:val="000000" w:themeColor="text1"/>
          <w:sz w:val="32"/>
          <w:szCs w:val="32"/>
          <w:u w:val="single"/>
          <w14:textFill>
            <w14:solidFill>
              <w14:schemeClr w14:val="tx1"/>
            </w14:solidFill>
          </w14:textFill>
        </w:rPr>
        <w:t>（二）未在该时间段内完成导师确认的，学生仍需积极联系导师，与导师达成意向后完成有关手续后按照相同方式及时提交至学校，学校将定期审核。</w:t>
      </w:r>
    </w:p>
    <w:p w14:paraId="4921128E">
      <w:pPr>
        <w:snapToGrid w:val="0"/>
        <w:spacing w:line="560" w:lineRule="atLeast"/>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四、后续培养工作提示</w:t>
      </w:r>
    </w:p>
    <w:p w14:paraId="259FE903">
      <w:pPr>
        <w:snapToGrid w:val="0"/>
        <w:spacing w:line="560" w:lineRule="atLeas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（一）论文开题</w:t>
      </w:r>
    </w:p>
    <w:p w14:paraId="3D4A4873">
      <w:pPr>
        <w:snapToGrid w:val="0"/>
        <w:spacing w:line="560" w:lineRule="atLeas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1、开题时间：原则上进入二阶段并完成导师确认后半年内。</w:t>
      </w:r>
    </w:p>
    <w:p w14:paraId="1471865D">
      <w:pPr>
        <w:snapToGrid w:val="0"/>
        <w:spacing w:line="560" w:lineRule="atLeas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2、开题的组织：由导师负责，各研究生培养组织，公开进行。</w:t>
      </w:r>
    </w:p>
    <w:p w14:paraId="391EE2F4">
      <w:pPr>
        <w:snapToGrid w:val="0"/>
        <w:spacing w:line="560" w:lineRule="atLeas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3、开题要求：由研究生学院培养科具体解读。</w:t>
      </w:r>
    </w:p>
    <w:p w14:paraId="0BC9898A">
      <w:pPr>
        <w:snapToGrid w:val="0"/>
        <w:spacing w:line="560" w:lineRule="atLeas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（二）培养阶段</w:t>
      </w:r>
    </w:p>
    <w:p w14:paraId="7BED099F">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在导师指导下进行临床实践及科学研究，其中，临床医学硕士专业学位申请人在申请学位前须取得《执业医师资格证书》和《住院医师规范化培训合格证书》。</w:t>
      </w:r>
    </w:p>
    <w:p w14:paraId="6BD6DC82">
      <w:pPr>
        <w:snapToGrid w:val="0"/>
        <w:spacing w:line="560" w:lineRule="atLeas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（三）学位论文及学位授予标准</w:t>
      </w:r>
    </w:p>
    <w:p w14:paraId="1F538ECE">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研究生学院网站内查询有关文件要求。具体工作操作流程可向所在研究生培养单位咨询。</w:t>
      </w:r>
    </w:p>
    <w:p w14:paraId="2979C851">
      <w:pPr>
        <w:snapToGrid w:val="0"/>
        <w:spacing w:line="560" w:lineRule="atLeast"/>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NTUzZTNkMWJjOWE2NTUyYjVlNTJlZDNjZTFhOTUifQ=="/>
  </w:docVars>
  <w:rsids>
    <w:rsidRoot w:val="00B818D0"/>
    <w:rsid w:val="00072548"/>
    <w:rsid w:val="000C49A8"/>
    <w:rsid w:val="001129AE"/>
    <w:rsid w:val="00120728"/>
    <w:rsid w:val="00170568"/>
    <w:rsid w:val="00174ACF"/>
    <w:rsid w:val="001751A3"/>
    <w:rsid w:val="00177F91"/>
    <w:rsid w:val="003E7628"/>
    <w:rsid w:val="004B72C1"/>
    <w:rsid w:val="005666AD"/>
    <w:rsid w:val="00567C55"/>
    <w:rsid w:val="00584459"/>
    <w:rsid w:val="005A588D"/>
    <w:rsid w:val="005C5670"/>
    <w:rsid w:val="006B22B2"/>
    <w:rsid w:val="00707575"/>
    <w:rsid w:val="00745A12"/>
    <w:rsid w:val="007E1778"/>
    <w:rsid w:val="00806A48"/>
    <w:rsid w:val="00816901"/>
    <w:rsid w:val="008172D3"/>
    <w:rsid w:val="008427FD"/>
    <w:rsid w:val="00853FEB"/>
    <w:rsid w:val="008822DE"/>
    <w:rsid w:val="00951E97"/>
    <w:rsid w:val="00A11500"/>
    <w:rsid w:val="00A63E75"/>
    <w:rsid w:val="00B818D0"/>
    <w:rsid w:val="00BB2DE4"/>
    <w:rsid w:val="00C97EE3"/>
    <w:rsid w:val="00CF3683"/>
    <w:rsid w:val="00D00C45"/>
    <w:rsid w:val="00D252F0"/>
    <w:rsid w:val="00D57958"/>
    <w:rsid w:val="00E903CD"/>
    <w:rsid w:val="00F92EDC"/>
    <w:rsid w:val="00FD3ECD"/>
    <w:rsid w:val="00FF135E"/>
    <w:rsid w:val="06036E96"/>
    <w:rsid w:val="0CDD2038"/>
    <w:rsid w:val="125749F5"/>
    <w:rsid w:val="13BC5D56"/>
    <w:rsid w:val="1EC372DB"/>
    <w:rsid w:val="24373629"/>
    <w:rsid w:val="27FF7DCA"/>
    <w:rsid w:val="32A35B66"/>
    <w:rsid w:val="3A80676A"/>
    <w:rsid w:val="3D054CCB"/>
    <w:rsid w:val="3F8D744B"/>
    <w:rsid w:val="44EA6C17"/>
    <w:rsid w:val="48AF69AC"/>
    <w:rsid w:val="49B72F08"/>
    <w:rsid w:val="4EF86EF0"/>
    <w:rsid w:val="55770B3D"/>
    <w:rsid w:val="5864717E"/>
    <w:rsid w:val="59CA7788"/>
    <w:rsid w:val="6DCB16E4"/>
    <w:rsid w:val="6FD20C11"/>
    <w:rsid w:val="7E9C4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character" w:customStyle="1" w:styleId="7">
    <w:name w:val="Unresolved Mention"/>
    <w:basedOn w:val="5"/>
    <w:semiHidden/>
    <w:unhideWhenUsed/>
    <w:qFormat/>
    <w:uiPriority w:val="99"/>
    <w:rPr>
      <w:color w:val="605E5C"/>
      <w:shd w:val="clear" w:color="auto" w:fill="E1DFDD"/>
    </w:rPr>
  </w:style>
  <w:style w:type="character" w:customStyle="1" w:styleId="8">
    <w:name w:val="页眉 字符"/>
    <w:basedOn w:val="5"/>
    <w:link w:val="3"/>
    <w:qFormat/>
    <w:uiPriority w:val="99"/>
    <w:rPr>
      <w:rFonts w:asciiTheme="minorHAnsi" w:hAnsiTheme="minorHAnsi" w:eastAsiaTheme="minorEastAsia" w:cstheme="minorBidi"/>
      <w:kern w:val="2"/>
      <w:sz w:val="18"/>
      <w:szCs w:val="18"/>
    </w:rPr>
  </w:style>
  <w:style w:type="character" w:customStyle="1" w:styleId="9">
    <w:name w:val="页脚 字符"/>
    <w:basedOn w:val="5"/>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1539</Words>
  <Characters>1641</Characters>
  <Lines>11</Lines>
  <Paragraphs>3</Paragraphs>
  <TotalTime>6</TotalTime>
  <ScaleCrop>false</ScaleCrop>
  <LinksUpToDate>false</LinksUpToDate>
  <CharactersWithSpaces>1653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2023-09-22T03:15:00Z</dcterms:created>
  <dc:creator>王洁琳</dc:creator>
  <cp:lastModifiedBy>阿闵</cp:lastModifiedBy>
  <dcterms:modified xsi:type="dcterms:W3CDTF">2024-10-16T07:19:30Z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2448F060C1334F248CDF56C90FA4541B</vt:lpwstr>
  </property>
</Properties>
</file>